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86" w:rsidRPr="003350F3" w:rsidRDefault="00527686" w:rsidP="005276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Соглашение </w:t>
      </w:r>
    </w:p>
    <w:p w:rsidR="00527686" w:rsidRPr="003350F3" w:rsidRDefault="00527686" w:rsidP="005276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сотрудничестве </w:t>
      </w:r>
    </w:p>
    <w:p w:rsidR="00527686" w:rsidRPr="003350F3" w:rsidRDefault="00527686" w:rsidP="00527686">
      <w:pPr>
        <w:tabs>
          <w:tab w:val="left" w:pos="9354"/>
        </w:tabs>
        <w:autoSpaceDE w:val="0"/>
        <w:autoSpaceDN w:val="0"/>
        <w:adjustRightInd w:val="0"/>
        <w:spacing w:after="0"/>
        <w:ind w:right="-1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«___»___________202__ г.</w:t>
      </w:r>
    </w:p>
    <w:p w:rsidR="00527686" w:rsidRPr="003350F3" w:rsidRDefault="00527686" w:rsidP="00527686">
      <w:pPr>
        <w:tabs>
          <w:tab w:val="left" w:pos="9354"/>
        </w:tabs>
        <w:autoSpaceDE w:val="0"/>
        <w:autoSpaceDN w:val="0"/>
        <w:adjustRightInd w:val="0"/>
        <w:spacing w:after="0"/>
        <w:ind w:righ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</w:p>
    <w:p w:rsidR="00527686" w:rsidRPr="003350F3" w:rsidRDefault="00527686" w:rsidP="00527686">
      <w:pPr>
        <w:tabs>
          <w:tab w:val="left" w:pos="9354"/>
        </w:tabs>
        <w:spacing w:after="0" w:line="240" w:lineRule="auto"/>
        <w:ind w:right="-2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Государственное бюджетное образовательное учреждение высшего образования Московской области «Академия социального управления» на основании лицензии №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___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«___»    ____________ 20_____ г.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выданной Федеральной службой по надзору в сфере образования и науки, срок действия лицензии – бессрочно, </w:t>
      </w:r>
      <w:r w:rsidRPr="005A693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лице ____________, действующего на основании _______________,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именуемое в дальнейшем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АСОУ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лице ___________, действующего на основании _____________, именуемый в дальнейшем Академическая площадка, совместно именуемые «Стороны», принимая во внимание, что целью совместной</w:t>
      </w:r>
      <w:proofErr w:type="gramEnd"/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деятельности Сторон является организация дополнительного профессионального образования работников образования Московской области, а также научно-практических и учебно-методических мероприятий по сопровождению профессионального развития специалистов в сфере образования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заключили настоящее Соглашение о нижеследующем:</w:t>
      </w:r>
    </w:p>
    <w:p w:rsidR="00527686" w:rsidRPr="003350F3" w:rsidRDefault="00527686" w:rsidP="00527686">
      <w:pPr>
        <w:tabs>
          <w:tab w:val="left" w:pos="9354"/>
        </w:tabs>
        <w:spacing w:after="0" w:line="240" w:lineRule="auto"/>
        <w:ind w:right="-2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27686" w:rsidRPr="003350F3" w:rsidRDefault="00527686" w:rsidP="00527686">
      <w:pPr>
        <w:tabs>
          <w:tab w:val="left" w:pos="9354"/>
        </w:tabs>
        <w:spacing w:after="0" w:line="240" w:lineRule="auto"/>
        <w:ind w:right="567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ДЕЯТЕЛЬНОСТИ</w:t>
      </w:r>
    </w:p>
    <w:p w:rsidR="00527686" w:rsidRPr="003350F3" w:rsidRDefault="00527686" w:rsidP="00527686">
      <w:pPr>
        <w:tabs>
          <w:tab w:val="num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Стороны договорились на безвозмездной основе осуществлять сотрудничество по следующим направлениям: </w:t>
      </w:r>
    </w:p>
    <w:p w:rsidR="00527686" w:rsidRPr="00B45958" w:rsidRDefault="00527686" w:rsidP="0052768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научно-методическое обеспечение деятельности Академической площадки в целях достижения нового качества образования; </w:t>
      </w:r>
    </w:p>
    <w:p w:rsidR="00527686" w:rsidRPr="00B45958" w:rsidRDefault="00527686" w:rsidP="0052768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профессионального роста педагогических работников Академической площадки; </w:t>
      </w:r>
    </w:p>
    <w:p w:rsidR="00527686" w:rsidRPr="00B45958" w:rsidRDefault="00527686" w:rsidP="0052768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практико-ориентированное повышение квалификации педагогических и управленческих кадров Московской области, основанное на изучении эффективного опыта Академической площадки (визиты, стажировки, практические занятия и др.);</w:t>
      </w:r>
    </w:p>
    <w:p w:rsidR="00527686" w:rsidRPr="00B45958" w:rsidRDefault="00527686" w:rsidP="0052768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9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совместной деятельности по обогащению информационно-образовательной среды и ее использовани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45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эффективной реализации образовательных программ и услуг с применением электронного обучения, дистанционных образовательных технологий. </w:t>
      </w:r>
    </w:p>
    <w:p w:rsidR="00527686" w:rsidRPr="003350F3" w:rsidRDefault="00527686" w:rsidP="00527686">
      <w:pPr>
        <w:tabs>
          <w:tab w:val="num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686" w:rsidRPr="003350F3" w:rsidRDefault="00527686" w:rsidP="00527686">
      <w:pPr>
        <w:tabs>
          <w:tab w:val="left" w:pos="9354"/>
        </w:tabs>
        <w:spacing w:after="0" w:line="240" w:lineRule="auto"/>
        <w:ind w:right="567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ПРАВА И ОБЯЗАННОСТИ СТОРОН</w:t>
      </w:r>
    </w:p>
    <w:p w:rsidR="00527686" w:rsidRPr="003350F3" w:rsidRDefault="00527686" w:rsidP="00527686">
      <w:pPr>
        <w:tabs>
          <w:tab w:val="num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АСОУ обязуется:</w:t>
      </w:r>
    </w:p>
    <w:p w:rsidR="00527686" w:rsidRPr="003350F3" w:rsidRDefault="00527686" w:rsidP="005276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 научно-методическое сопровождение педагогической практики,</w:t>
      </w:r>
      <w:r w:rsidRPr="00BA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диссеминации 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опыта, опытно-экспериментальной деятельности педагогов Академической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686" w:rsidRPr="003350F3" w:rsidRDefault="00527686" w:rsidP="005276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повышение квалификации  педагогических и управленческих кадров Московской области с привлечением кадрового потенциала Академической 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686" w:rsidRPr="003350F3" w:rsidRDefault="00527686" w:rsidP="005276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совместную деятельность по разработке программ и реализации планов экспериментальной, инновационной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686" w:rsidRPr="003350F3" w:rsidRDefault="00527686" w:rsidP="005276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совместный анализ экспериментальной, инновационной деятельности Академической площадки, содействовать внедрению результатов экспериментальной, инновационной работы в массовую педагогическую практику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686" w:rsidRPr="003350F3" w:rsidRDefault="00527686" w:rsidP="005276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индивидуальное и групповое консультирование  управленческих и педагогических работников  Академической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686" w:rsidRPr="003350F3" w:rsidRDefault="00527686" w:rsidP="005276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аспространять опыт экспериментальной, инновационной работы педагогических кадров Академической площадки в условиях региональной системы повышения квалификации.</w:t>
      </w:r>
    </w:p>
    <w:p w:rsidR="00527686" w:rsidRPr="003350F3" w:rsidRDefault="00527686" w:rsidP="00527686">
      <w:pPr>
        <w:tabs>
          <w:tab w:val="num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Академическая площадка обязуется:</w:t>
      </w:r>
    </w:p>
    <w:p w:rsidR="00527686" w:rsidRPr="003350F3" w:rsidRDefault="00527686" w:rsidP="0052768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частвовать в научно-исследовательской, экспериментальной работе, способствующей повышению качества образования в Московской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материалов по модернизации образовательной системы и управлению качеством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686" w:rsidRPr="003350F3" w:rsidRDefault="00527686" w:rsidP="0052768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аспространять опыт работы Академической площадки в условиях практико-ориентированной деятельности курсов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686" w:rsidRPr="003350F3" w:rsidRDefault="00527686" w:rsidP="0052768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редоставлять  на безвозмездной основе в рамках настоящего Соглашения материально-техническую базу Академической площадки для проведения  практико-ориентированной деятельности  по повышению квалификации педагогических и управленческих кадров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686" w:rsidRDefault="00527686" w:rsidP="0052768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комплексный мониторинг результативности опытно-экспериментальной работы, предоставлять промежуточные и итоговые отчёты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686" w:rsidRPr="003350F3" w:rsidRDefault="00527686" w:rsidP="0052768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созданию позитивного образа практико-ориентированного сотрудничества с АСОУ в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686" w:rsidRPr="003350F3" w:rsidRDefault="00527686" w:rsidP="00527686">
      <w:pPr>
        <w:tabs>
          <w:tab w:val="num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686" w:rsidRPr="003350F3" w:rsidRDefault="00527686" w:rsidP="00527686">
      <w:pPr>
        <w:tabs>
          <w:tab w:val="left" w:pos="9354"/>
        </w:tabs>
        <w:spacing w:after="0" w:line="240" w:lineRule="auto"/>
        <w:ind w:right="567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F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 ДЕЙСТВИЯ СОГЛАШЕНИЯ</w:t>
      </w:r>
    </w:p>
    <w:p w:rsidR="00527686" w:rsidRPr="003350F3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3.1.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Настоящее Соглашение вступает в силу с момента подписания его Сторонами и действует до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«____» _____________ 202__ г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27686" w:rsidRPr="003350F3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3.2.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Настоящее Соглашение может быть расторгнуто по взаимному согласию Сторон, что оформляется соглашением о расторжении. </w:t>
      </w:r>
    </w:p>
    <w:p w:rsidR="00527686" w:rsidRPr="003350F3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3.3.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335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случае невыполнения или невозможности выполнения взятых на себя обязательств одна из Сторон вправе расторгнуть настоящее соглашение в одностороннем порядке, уведомив об этом другую Сторону в письменном виде не позднее, чем за 10 дней.</w:t>
      </w:r>
    </w:p>
    <w:p w:rsidR="00527686" w:rsidRPr="0026240E" w:rsidRDefault="00527686" w:rsidP="00527686">
      <w:pPr>
        <w:tabs>
          <w:tab w:val="left" w:pos="9354"/>
        </w:tabs>
        <w:spacing w:after="0"/>
        <w:ind w:right="567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27686" w:rsidRPr="00FA180F" w:rsidRDefault="00527686" w:rsidP="00527686">
      <w:pPr>
        <w:tabs>
          <w:tab w:val="left" w:pos="9354"/>
        </w:tabs>
        <w:spacing w:after="0" w:line="240" w:lineRule="auto"/>
        <w:ind w:righ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"/>
      <w:r w:rsidRPr="00FA1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 ПРАВА НА РЕЗУЛЬТАТЫ ИНТЕЛЛЕКТУАЛЬНОЙ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8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</w:p>
    <w:bookmarkEnd w:id="0"/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.1.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рамках реализации настоящего соглашения Стороны обеспечивают защиту прав на результаты интеллектуальной деятельности и защиту от недобросовестной конкуренции со стороны третьих лиц.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Права на результаты интеллектуальной деятельности подлежат государственной регистрации в порядке, предусмотренном законодательством той стороны, на территории которой эти результаты были получены.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Исключительное право на результаты интеллектуальной деятельности, являющиеся результатом деятельности одной из сторон, принадлежат этой Стороне.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Исключительное право на результаты интеллектуальной деятельности, являющиеся результатом совместной деятельности Сторон, принадлежат Сторонам совместно по согласованию.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27686" w:rsidRPr="009F3481" w:rsidRDefault="00527686" w:rsidP="00527686">
      <w:pPr>
        <w:tabs>
          <w:tab w:val="left" w:pos="9354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ФОРС-МАЖОРНЫЕ ОБЯЗАТЕЛЬСТВА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.1.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 наступлении обстоятельства невозможности полного или частичного исполнения одной из Сторон обязательств по настоящему Соглашению, а именно: пожара, стихийных бедствий, военных операций любого характера, блокады, запрещений экспорта или импорта, или других, не зависящих от Сторон обстоятельств, срок исполнения обязатель</w:t>
      </w:r>
      <w:proofErr w:type="gramStart"/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сдв</w:t>
      </w:r>
      <w:proofErr w:type="gramEnd"/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игается соразмерно времени, в течение которого будут действовать такие обстоятельства.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.2.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Сторона, для которой создалась невозможность исполнения обязательств по настоящему соглашению, должна о наступлении и прекращении обстоятельств, препятствующих исполнению обязательств, извещать другую Сторону в срок не позднее двух недель.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Надлежащим доказательством наличия указанных выше обстоятельств будут служить документы соответствующих организаций.</w:t>
      </w:r>
    </w:p>
    <w:p w:rsidR="00527686" w:rsidRDefault="00527686" w:rsidP="00527686">
      <w:pPr>
        <w:tabs>
          <w:tab w:val="left" w:pos="9354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27686" w:rsidRPr="009F3481" w:rsidRDefault="00527686" w:rsidP="00527686">
      <w:pPr>
        <w:tabs>
          <w:tab w:val="left" w:pos="9354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РАЗРЕШЕНИЕ СПОРОВ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.1.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Стороны примут все меры к разрешению всех споров и разногласий, которые могут возникнуть в процессе совместной деятельности на основании настоящего соглашения, дружественным путем.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.2.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если Стороны не договорятся, все споры и разногласия решаются в соответствии с действующим законодательством Российской Федерации.</w:t>
      </w:r>
    </w:p>
    <w:p w:rsidR="00527686" w:rsidRDefault="00527686" w:rsidP="00527686">
      <w:pPr>
        <w:tabs>
          <w:tab w:val="left" w:pos="9354"/>
        </w:tabs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27686" w:rsidRPr="009F3481" w:rsidRDefault="00527686" w:rsidP="00527686">
      <w:pPr>
        <w:tabs>
          <w:tab w:val="left" w:pos="9354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 ЗАКЛЮЧИТЕЛЬНЫЕ ПОЛОЖЕНИЯ</w:t>
      </w:r>
    </w:p>
    <w:p w:rsidR="00527686" w:rsidRPr="00440E5F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40E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7.1.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440E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Условия выполнения конкретных мероприятий в рамках настоящего Соглашения определяются в договорах, заключенных Сторонами.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40E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7.2.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440E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Реализация настоящего Соглашения не приведет к ограничению конкуренции в соответствующих сферах деятельности. Взаимодействие при </w:t>
      </w:r>
      <w:r w:rsidRPr="00440E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реализации настоящего Соглашения должно осуществляться с соблюдением требований Федерального закона от 26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.07.2</w:t>
      </w:r>
      <w:r w:rsidRPr="00440E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006 № 135-ФЗ «О защите конкуренции», Федерального закона от 05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.04.</w:t>
      </w:r>
      <w:r w:rsidRPr="00440E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2013 № 44-ФЗ «О контрактной системе в сфере закупок товаров, работ, услуг для обеспечения государственных и муниципальных нужд».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Все разногласия и споры, возникающие в процессе исполнения настоящего Соглашения, решаются Сторонами путем переговоров. При </w:t>
      </w:r>
      <w:proofErr w:type="spellStart"/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неурегулировании</w:t>
      </w:r>
      <w:proofErr w:type="spellEnd"/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спорных вопросов, они рассматриваются в установленном порядке </w:t>
      </w:r>
      <w:r w:rsidRPr="002D16A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Арбитражным судом города Москвы.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.4.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Настоящее Соглашение носит безвозмездный характер и не налагает на Стороны каких-либо финансовых обязательств. На основании настоящего Соглашения у Сторон не возникает обязанностей по передаче друг другу имущества, в том числе имущественных прав, перечислению денежных средств, выполнению работ, оказанию услуг.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.5.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Настоящее Соглашение не является предварительным договором (ст. 429 ГК РФ) и договором простого товарищества (ст. 1041 ГК РФ) и не может служить основанием для возникновения ответственности Сторон за неисполнение его положений (ни одна из Сторон не будет обязана возмещать другой Стороне, включая (без ограничения) ущерб, потери, понесенные Стороной в связи с выполнением (невыполнением), истечением срока или расторжением настоящего Соглашения). </w:t>
      </w:r>
      <w:proofErr w:type="gramEnd"/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.6.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Применительно к настоящему Соглашению ни одна из Сторон не будет обременена обязательствами или долгами другой Стороны или Сторон, и ни одна из Сторон не будет действовать в качестве агента другой Стороны или Сторон без заключения соответствующих отдельных соглашений.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.7.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случае получения Сторонами в рамках настоящего Соглашения конфиденциальной информации, Стороны обязуются не разглашать третьим лицам конфиденциальную информацию и не использовать ее любым другим образом, кроме как для реализации настоящего Соглашения. Стороны обязуются предпринять все необходимые меры для предотвращения разглашения конфиденциальной информации их работниками. </w:t>
      </w:r>
      <w:proofErr w:type="gramStart"/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Под конфиденциальной понимается любая информация (в том числе информация, составляющая коммерческую тайну Сторон) технического, коммерческого, финансового характера, прямо или косвенно относящаяся к взаимоотношениям Сторон,  не опубликованная в открытой печати или иным образом не переданная для свободного доступа и ставшая известной Сторонам в ходе реализации настоящего Соглашения или предварительных переговоров о его заключении.</w:t>
      </w:r>
      <w:proofErr w:type="gramEnd"/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Каждая Сторона не будет выступать с публичными заявлениями без предварительного согласования с другой Стороной в части, касающейся их сотрудничества в рамках настоящего Соглашения.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.8.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Сторона, предоставившая персональные данные, гарантирует соблюдение законодательства Российской Федерации в сфере обработки персональных данных при предоставлении таких персональных данных. 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.9.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Настоящее Соглашение, а также указанные в Соглашении действия не направлены на ограничение сотрудничества Сторон с другими организациями и не преследует цели ограничения деятельности других организаций на территории Российской Федерации.</w:t>
      </w:r>
    </w:p>
    <w:p w:rsidR="00527686" w:rsidRPr="009F3481" w:rsidRDefault="00527686" w:rsidP="00527686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.10.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</w:t>
      </w:r>
      <w:r w:rsidRPr="009F34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Настоящее Соглашение заключено в двух идентичных экземплярах, имеющих равную юридическую силу.</w:t>
      </w:r>
    </w:p>
    <w:p w:rsidR="00527686" w:rsidRDefault="00527686" w:rsidP="00527686">
      <w:pPr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527686" w:rsidRPr="00D56BA6" w:rsidRDefault="00527686" w:rsidP="00527686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D56BA6">
        <w:rPr>
          <w:rFonts w:ascii="Times New Roman" w:hAnsi="Times New Roman" w:cs="Times New Roman"/>
          <w:sz w:val="28"/>
          <w:szCs w:val="28"/>
        </w:rPr>
        <w:t>8. АДРЕСА И ПОДПИСИ СТОРОН</w:t>
      </w:r>
    </w:p>
    <w:tbl>
      <w:tblPr>
        <w:tblW w:w="990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/>
      </w:tblPr>
      <w:tblGrid>
        <w:gridCol w:w="4930"/>
        <w:gridCol w:w="236"/>
        <w:gridCol w:w="4734"/>
      </w:tblGrid>
      <w:tr w:rsidR="00527686" w:rsidRPr="00FA180F" w:rsidTr="005538DF">
        <w:tc>
          <w:tcPr>
            <w:tcW w:w="4995" w:type="dxa"/>
          </w:tcPr>
          <w:p w:rsidR="00527686" w:rsidRPr="00FA180F" w:rsidRDefault="00527686" w:rsidP="005538D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" w:type="dxa"/>
          </w:tcPr>
          <w:p w:rsidR="00527686" w:rsidRPr="00FA180F" w:rsidRDefault="00527686" w:rsidP="005538DF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6" w:type="dxa"/>
          </w:tcPr>
          <w:p w:rsidR="00527686" w:rsidRPr="00FA180F" w:rsidRDefault="00527686" w:rsidP="005538D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FA180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</w:tc>
      </w:tr>
    </w:tbl>
    <w:p w:rsidR="00527686" w:rsidRPr="0026240E" w:rsidRDefault="00527686" w:rsidP="00527686">
      <w:pPr>
        <w:tabs>
          <w:tab w:val="left" w:pos="9354"/>
        </w:tabs>
        <w:spacing w:after="0"/>
        <w:ind w:right="567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15264" w:rsidRDefault="00527686"/>
    <w:sectPr w:rsidR="00015264" w:rsidSect="0072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4ED8"/>
    <w:multiLevelType w:val="hybridMultilevel"/>
    <w:tmpl w:val="1634371E"/>
    <w:lvl w:ilvl="0" w:tplc="4DB81A1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3DA7000C"/>
    <w:multiLevelType w:val="hybridMultilevel"/>
    <w:tmpl w:val="1634371E"/>
    <w:lvl w:ilvl="0" w:tplc="4DB81A1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60667035"/>
    <w:multiLevelType w:val="hybridMultilevel"/>
    <w:tmpl w:val="1634371E"/>
    <w:lvl w:ilvl="0" w:tplc="4DB81A1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27686"/>
    <w:rsid w:val="00527686"/>
    <w:rsid w:val="005804E4"/>
    <w:rsid w:val="0060567C"/>
    <w:rsid w:val="007270C2"/>
    <w:rsid w:val="009C0673"/>
    <w:rsid w:val="00E8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8390</Characters>
  <Application>Microsoft Office Word</Application>
  <DocSecurity>0</DocSecurity>
  <Lines>69</Lines>
  <Paragraphs>19</Paragraphs>
  <ScaleCrop>false</ScaleCrop>
  <Company/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stepanova_oa</dc:creator>
  <cp:lastModifiedBy>stepanova_oa</cp:lastModifiedBy>
  <cp:revision>1</cp:revision>
  <dcterms:created xsi:type="dcterms:W3CDTF">2021-09-13T14:53:00Z</dcterms:created>
  <dcterms:modified xsi:type="dcterms:W3CDTF">2021-09-13T14:54:00Z</dcterms:modified>
</cp:coreProperties>
</file>