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D4F" w:rsidRDefault="00A43D4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43D4F" w:rsidRDefault="00A43D4F">
      <w:pPr>
        <w:pStyle w:val="ConsPlusNormal"/>
        <w:jc w:val="both"/>
        <w:outlineLvl w:val="0"/>
      </w:pPr>
    </w:p>
    <w:p w:rsidR="00A43D4F" w:rsidRDefault="00A43D4F">
      <w:pPr>
        <w:pStyle w:val="ConsPlusTitle"/>
        <w:jc w:val="center"/>
        <w:outlineLvl w:val="0"/>
      </w:pPr>
      <w:r>
        <w:t>ГУБЕРНАТОР МОСКОВСКОЙ ОБЛАСТИ</w:t>
      </w:r>
    </w:p>
    <w:p w:rsidR="00A43D4F" w:rsidRDefault="00A43D4F">
      <w:pPr>
        <w:pStyle w:val="ConsPlusTitle"/>
        <w:jc w:val="both"/>
      </w:pPr>
    </w:p>
    <w:p w:rsidR="00A43D4F" w:rsidRDefault="00A43D4F">
      <w:pPr>
        <w:pStyle w:val="ConsPlusTitle"/>
        <w:jc w:val="center"/>
      </w:pPr>
      <w:r>
        <w:t>ПОСТАНОВЛЕНИЕ</w:t>
      </w:r>
    </w:p>
    <w:p w:rsidR="00A43D4F" w:rsidRDefault="00A43D4F">
      <w:pPr>
        <w:pStyle w:val="ConsPlusTitle"/>
        <w:jc w:val="center"/>
      </w:pPr>
      <w:r>
        <w:t>от 17 августа 2015 г. N 352-ПГ</w:t>
      </w:r>
    </w:p>
    <w:p w:rsidR="00A43D4F" w:rsidRDefault="00A43D4F">
      <w:pPr>
        <w:pStyle w:val="ConsPlusTitle"/>
        <w:jc w:val="both"/>
      </w:pPr>
    </w:p>
    <w:p w:rsidR="00A43D4F" w:rsidRDefault="00A43D4F">
      <w:pPr>
        <w:pStyle w:val="ConsPlusTitle"/>
        <w:jc w:val="center"/>
      </w:pPr>
      <w:r>
        <w:t>ОБ УЧРЕЖДЕНИИ ПРЕМИИ ГУБЕРНАТОРА МОСКОВСКОЙ ОБЛАСТИ</w:t>
      </w:r>
    </w:p>
    <w:p w:rsidR="00A43D4F" w:rsidRDefault="00A43D4F">
      <w:pPr>
        <w:pStyle w:val="ConsPlusTitle"/>
        <w:jc w:val="center"/>
      </w:pPr>
      <w:r>
        <w:t>"ЛУЧШИЙ ПО ПРОФЕССИИ" В СФЕРЕ ОБРАЗОВАНИЯ</w:t>
      </w:r>
    </w:p>
    <w:p w:rsidR="00A43D4F" w:rsidRDefault="00A43D4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43D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D4F" w:rsidRDefault="00A43D4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D4F" w:rsidRDefault="00A43D4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3D4F" w:rsidRDefault="00A43D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3D4F" w:rsidRDefault="00A43D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Губернатора МО от 31.03.2016 </w:t>
            </w:r>
            <w:hyperlink r:id="rId5" w:history="1">
              <w:r>
                <w:rPr>
                  <w:color w:val="0000FF"/>
                </w:rPr>
                <w:t>N 114-ПГ</w:t>
              </w:r>
            </w:hyperlink>
            <w:r>
              <w:rPr>
                <w:color w:val="392C69"/>
              </w:rPr>
              <w:t>,</w:t>
            </w:r>
          </w:p>
          <w:p w:rsidR="00A43D4F" w:rsidRDefault="00A4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14.06.2018 </w:t>
            </w:r>
            <w:hyperlink r:id="rId6" w:history="1">
              <w:r>
                <w:rPr>
                  <w:color w:val="0000FF"/>
                </w:rPr>
                <w:t>N 261-ПГ</w:t>
              </w:r>
            </w:hyperlink>
            <w:r>
              <w:rPr>
                <w:color w:val="392C69"/>
              </w:rPr>
              <w:t xml:space="preserve">, от 24.05.2019 </w:t>
            </w:r>
            <w:hyperlink r:id="rId7" w:history="1">
              <w:r>
                <w:rPr>
                  <w:color w:val="0000FF"/>
                </w:rPr>
                <w:t>N 241-ПГ</w:t>
              </w:r>
            </w:hyperlink>
            <w:r>
              <w:rPr>
                <w:color w:val="392C69"/>
              </w:rPr>
              <w:t xml:space="preserve">, от 07.05.2020 </w:t>
            </w:r>
            <w:hyperlink r:id="rId8" w:history="1">
              <w:r>
                <w:rPr>
                  <w:color w:val="0000FF"/>
                </w:rPr>
                <w:t>N 225-ПГ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D4F" w:rsidRDefault="00A43D4F">
            <w:pPr>
              <w:spacing w:after="1" w:line="0" w:lineRule="atLeast"/>
            </w:pPr>
          </w:p>
        </w:tc>
      </w:tr>
    </w:tbl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статьей 21</w:t>
        </w:r>
      </w:hyperlink>
      <w:r>
        <w:t xml:space="preserve"> Закона Московской области N 94/2013-ОЗ "Об образовании", государственной </w:t>
      </w:r>
      <w:hyperlink r:id="rId10" w:history="1">
        <w:r>
          <w:rPr>
            <w:color w:val="0000FF"/>
          </w:rPr>
          <w:t>программой</w:t>
        </w:r>
      </w:hyperlink>
      <w:r>
        <w:t xml:space="preserve"> Московской области "Развитие институтов гражданского общества, повышение эффективности местного самоуправления и реализации молодежной политики в Московской области", утвержденной постановлением Правительства Московской области от 25.10.2016 N 796/39 "Об утверждении государственной программы Московской области "Развитие институтов гражданского общества, повышение эффективности местного самоуправления и реализации молодежной политики в Московской области", в целях повышения престижа педагогической профессии, совершенствования профессиональных знаний и методов и поощрения работников образовательных организаций Московской области постановляю:</w:t>
      </w:r>
    </w:p>
    <w:p w:rsidR="00A43D4F" w:rsidRDefault="00A43D4F">
      <w:pPr>
        <w:pStyle w:val="ConsPlusNormal"/>
        <w:jc w:val="both"/>
      </w:pPr>
      <w:r>
        <w:t xml:space="preserve">(в ред. постановлений Губернатора МО от 31.03.2016 </w:t>
      </w:r>
      <w:hyperlink r:id="rId11" w:history="1">
        <w:r>
          <w:rPr>
            <w:color w:val="0000FF"/>
          </w:rPr>
          <w:t>N 114-ПГ</w:t>
        </w:r>
      </w:hyperlink>
      <w:r>
        <w:t xml:space="preserve">, от 14.06.2018 </w:t>
      </w:r>
      <w:hyperlink r:id="rId12" w:history="1">
        <w:r>
          <w:rPr>
            <w:color w:val="0000FF"/>
          </w:rPr>
          <w:t>N 261-ПГ</w:t>
        </w:r>
      </w:hyperlink>
      <w:r>
        <w:t>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1. Учредить 20 (двадцать) ежегодных премий Губернатора Московской области "Лучший по профессии" в сфере образования в размере 300000 рублей каждая.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 премии Губернатора Московской области "Лучший по профессии" в сфере образования.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3. Министерству образования Московской области обеспечить организацию и проведение ежегодного конкурса на присуждение премии Губернатора Московской области "Лучший по профессии" в сфере образования.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4. Финансирование расходов, связанных с реализацией настоящего постановления, осуществляется в пределах бюджетных ассигнований, предусмотренных Министерству образования Московской области в бюджете Московской области на соответствующий финансовый год и плановый период.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5. Главному управлению по информационной политике Московской области обеспечить официальное опубликование настоящего постановления в газете "Ежедневные новости. Подмосковье" и размещение (опубликование) на Интернет-портале Правительства Московской области.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6. Настоящее постановление вступает в силу на следующий день после его подписания.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7. Контроль за выполнением настоящего постановления возложить на первого заместителя Председателя Правительства Московской области О.С. Забралову.</w:t>
      </w:r>
    </w:p>
    <w:p w:rsidR="00A43D4F" w:rsidRDefault="00A43D4F">
      <w:pPr>
        <w:pStyle w:val="ConsPlusNormal"/>
        <w:jc w:val="both"/>
      </w:pPr>
      <w:r>
        <w:t xml:space="preserve">(в ред. постановлений Губернатора МО от 31.03.2016 </w:t>
      </w:r>
      <w:hyperlink r:id="rId13" w:history="1">
        <w:r>
          <w:rPr>
            <w:color w:val="0000FF"/>
          </w:rPr>
          <w:t>N 114-ПГ</w:t>
        </w:r>
      </w:hyperlink>
      <w:r>
        <w:t xml:space="preserve">, от 24.05.2019 </w:t>
      </w:r>
      <w:hyperlink r:id="rId14" w:history="1">
        <w:r>
          <w:rPr>
            <w:color w:val="0000FF"/>
          </w:rPr>
          <w:t>N 241-ПГ</w:t>
        </w:r>
      </w:hyperlink>
      <w:r>
        <w:t xml:space="preserve">, от 07.05.2020 </w:t>
      </w:r>
      <w:hyperlink r:id="rId15" w:history="1">
        <w:r>
          <w:rPr>
            <w:color w:val="0000FF"/>
          </w:rPr>
          <w:t>N 225-ПГ</w:t>
        </w:r>
      </w:hyperlink>
      <w:r>
        <w:t>)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right"/>
      </w:pPr>
      <w:r>
        <w:t>Губернатор Московской области</w:t>
      </w:r>
    </w:p>
    <w:p w:rsidR="00A43D4F" w:rsidRDefault="00A43D4F">
      <w:pPr>
        <w:pStyle w:val="ConsPlusNormal"/>
        <w:jc w:val="right"/>
      </w:pPr>
      <w:r>
        <w:lastRenderedPageBreak/>
        <w:t>А.Ю. Воробьев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right"/>
        <w:outlineLvl w:val="0"/>
      </w:pPr>
      <w:r>
        <w:t>Утверждено</w:t>
      </w:r>
    </w:p>
    <w:p w:rsidR="00A43D4F" w:rsidRDefault="00A43D4F">
      <w:pPr>
        <w:pStyle w:val="ConsPlusNormal"/>
        <w:jc w:val="right"/>
      </w:pPr>
      <w:r>
        <w:t>постановлением Губернатора</w:t>
      </w:r>
    </w:p>
    <w:p w:rsidR="00A43D4F" w:rsidRDefault="00A43D4F">
      <w:pPr>
        <w:pStyle w:val="ConsPlusNormal"/>
        <w:jc w:val="right"/>
      </w:pPr>
      <w:r>
        <w:t>Московской области</w:t>
      </w:r>
    </w:p>
    <w:p w:rsidR="00A43D4F" w:rsidRDefault="00A43D4F">
      <w:pPr>
        <w:pStyle w:val="ConsPlusNormal"/>
        <w:jc w:val="right"/>
      </w:pPr>
      <w:r>
        <w:t>от 17 августа 2015 г. N 352-ПГ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Title"/>
        <w:jc w:val="center"/>
      </w:pPr>
      <w:bookmarkStart w:id="0" w:name="P35"/>
      <w:bookmarkEnd w:id="0"/>
      <w:r>
        <w:t>ПОЛОЖЕНИЕ</w:t>
      </w:r>
    </w:p>
    <w:p w:rsidR="00A43D4F" w:rsidRDefault="00A43D4F">
      <w:pPr>
        <w:pStyle w:val="ConsPlusTitle"/>
        <w:jc w:val="center"/>
      </w:pPr>
      <w:r>
        <w:t>О ПРЕМИИ ГУБЕРНАТОРА МОСКОВСКОЙ ОБЛАСТИ</w:t>
      </w:r>
    </w:p>
    <w:p w:rsidR="00A43D4F" w:rsidRDefault="00A43D4F">
      <w:pPr>
        <w:pStyle w:val="ConsPlusTitle"/>
        <w:jc w:val="center"/>
      </w:pPr>
      <w:r>
        <w:t>"ЛУЧШИЙ ПО ПРОФЕССИИ" В СФЕРЕ ОБРАЗОВАНИЯ</w:t>
      </w:r>
    </w:p>
    <w:p w:rsidR="00A43D4F" w:rsidRDefault="00A43D4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43D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D4F" w:rsidRDefault="00A43D4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D4F" w:rsidRDefault="00A43D4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3D4F" w:rsidRDefault="00A43D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3D4F" w:rsidRDefault="00A43D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Губернатора МО от 31.03.2016 </w:t>
            </w:r>
            <w:hyperlink r:id="rId16" w:history="1">
              <w:r>
                <w:rPr>
                  <w:color w:val="0000FF"/>
                </w:rPr>
                <w:t>N 114-ПГ</w:t>
              </w:r>
            </w:hyperlink>
            <w:r>
              <w:rPr>
                <w:color w:val="392C69"/>
              </w:rPr>
              <w:t>,</w:t>
            </w:r>
          </w:p>
          <w:p w:rsidR="00A43D4F" w:rsidRDefault="00A4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14.06.2018 </w:t>
            </w:r>
            <w:hyperlink r:id="rId17" w:history="1">
              <w:r>
                <w:rPr>
                  <w:color w:val="0000FF"/>
                </w:rPr>
                <w:t>N 261-ПГ</w:t>
              </w:r>
            </w:hyperlink>
            <w:r>
              <w:rPr>
                <w:color w:val="392C69"/>
              </w:rPr>
              <w:t xml:space="preserve">, от 24.05.2019 </w:t>
            </w:r>
            <w:hyperlink r:id="rId18" w:history="1">
              <w:r>
                <w:rPr>
                  <w:color w:val="0000FF"/>
                </w:rPr>
                <w:t>N 241-ПГ</w:t>
              </w:r>
            </w:hyperlink>
            <w:r>
              <w:rPr>
                <w:color w:val="392C69"/>
              </w:rPr>
              <w:t xml:space="preserve">, от 07.05.2020 </w:t>
            </w:r>
            <w:hyperlink r:id="rId19" w:history="1">
              <w:r>
                <w:rPr>
                  <w:color w:val="0000FF"/>
                </w:rPr>
                <w:t>N 225-ПГ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D4F" w:rsidRDefault="00A43D4F">
            <w:pPr>
              <w:spacing w:after="1" w:line="0" w:lineRule="atLeast"/>
            </w:pPr>
          </w:p>
        </w:tc>
      </w:tr>
    </w:tbl>
    <w:p w:rsidR="00A43D4F" w:rsidRDefault="00A43D4F">
      <w:pPr>
        <w:pStyle w:val="ConsPlusNormal"/>
        <w:jc w:val="both"/>
      </w:pPr>
    </w:p>
    <w:p w:rsidR="00A43D4F" w:rsidRDefault="00A43D4F">
      <w:pPr>
        <w:pStyle w:val="ConsPlusTitle"/>
        <w:jc w:val="center"/>
        <w:outlineLvl w:val="1"/>
      </w:pPr>
      <w:r>
        <w:t>I. Общие положения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ind w:firstLine="540"/>
        <w:jc w:val="both"/>
      </w:pPr>
      <w:r>
        <w:t>1. Настоящее Положение определяет условия и порядок присуждения премии Губернатора Московской области "Лучший по профессии" в сфере образования (далее - премия), формирования и деятельности Региональной конкурсной комиссии по проведению конкурсного отбора претендентов на присуждение премии (далее - конкурсный отбор).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2. Премия присуждается работникам государственных образовательных организаций Московской области, автономных некоммерческих образовательных организаций, в состав учредителей которых входит Московская область (далее - государственные образовательные организации), муниципальных образовательных организаций в Московской области, автономных некоммерческих образовательных организаций, в состав учредителей которых входят муниципальные образования Московской области (далее - муниципальные образовательные организации, совместно именуемые "образовательные организации").</w:t>
      </w:r>
    </w:p>
    <w:p w:rsidR="00A43D4F" w:rsidRDefault="00A43D4F">
      <w:pPr>
        <w:pStyle w:val="ConsPlusNormal"/>
        <w:jc w:val="both"/>
      </w:pPr>
      <w:r>
        <w:t xml:space="preserve">(п. 2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Губернатора МО от 07.05.2020 N 225-ПГ)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3. Присуждение премии осуществляется на конкурсной основе.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4. Целью конкурсного отбора является повышение престижа педагогической профессии в Московской области.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5. Задачами конкурсного отбора являются выявление и поощрение лучших профессионалов в сфере образования Московской области.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6. Конкурсный отбор проводится на следующих принципах: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соревновательность;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объективность, открытость и прозрачность оценок;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широкий характер профессионального и общественного обсуждения;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государственно-общественный характер экспертизы и принятия решений.</w:t>
      </w:r>
    </w:p>
    <w:p w:rsidR="00A43D4F" w:rsidRDefault="00A43D4F">
      <w:pPr>
        <w:pStyle w:val="ConsPlusNormal"/>
        <w:spacing w:before="220"/>
        <w:ind w:firstLine="540"/>
        <w:jc w:val="both"/>
      </w:pPr>
      <w:bookmarkStart w:id="1" w:name="P55"/>
      <w:bookmarkEnd w:id="1"/>
      <w:r>
        <w:t>7. Конкурсный отбор проводится по следующим двадцати номинациям, в каждой из которых определяется один лауреат премии:</w:t>
      </w:r>
    </w:p>
    <w:p w:rsidR="00A43D4F" w:rsidRDefault="00A43D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374"/>
        <w:gridCol w:w="5159"/>
      </w:tblGrid>
      <w:tr w:rsidR="00A43D4F">
        <w:tc>
          <w:tcPr>
            <w:tcW w:w="510" w:type="dxa"/>
          </w:tcPr>
          <w:p w:rsidR="00A43D4F" w:rsidRDefault="00A43D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  <w:jc w:val="center"/>
            </w:pPr>
            <w:r>
              <w:t>Номинация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  <w:jc w:val="center"/>
            </w:pPr>
            <w:r>
              <w:t>Участники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  <w:jc w:val="center"/>
            </w:pPr>
            <w:r>
              <w:t>3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1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дошкольной образовательной организации в номинации "Дебют"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заведующие, заместители заведующих дошкольными образовательными организациями, проработавшие от 1 года до 3 лет и показавшие значительные достижения в развитии образовательной организации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2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дошкольной образовательной организации в номинации "Преданность профессии"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заведующие, заместители заведующих дошкольными образовательными организациями, проработавшие от 10 и более лет и показавшие значительные достижения в развитии образовательной организации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3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дошкольной образовательной организации в номинации "Лучшая развивающая среда"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заведующие, заместители заведующих дошкольных образовательных организаций, реализующие проекты по развитию, сохранению и укреплению здоровья детей, внедрению здоровьесберегающих технологий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4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дошкольной образовательной организации в номинации "Лучшая инновационная практика"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заведующие, заместители заведующих дошкольных образовательных организаций, реализующие инновационные образовательные проекты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5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общеобразовательной организации в номинации "Дебют"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 общеобразовательных организаций, проработавшие от 1 года до 3 лет и показавшие значительные достижения в развитии образовательной организации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6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общеобразовательной организации в номинации "Умная школа"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 общеобразовательных организаций, достигших высоких результатов в развитии олимпиадного движения в Московской области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7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общеобразовательной организации в номинации "Цифровая школа"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 общеобразовательных организаций, реализующие инновационные образовательные проекты по внедрению информационно-коммуникационных технологий в образовательный процесс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8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общеобразовательной организации в номинации "Особые дети"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 общеобразовательных организаций, реализующие инновационные образовательные проекты по повышению качества освоения детьми с ОВЗ трудовых навыков, в том числе по участию в национальном Чемпионате по профессиональному мастерству среди инвалидов и лиц с ограниченными возможностями здоровья "Абилимпикс"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общеобразовательной организации в номинации "Сельская школа"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 общеобразовательных организаций, расположенных в сельских населенных пунктах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10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общеобразовательной организации в номинации "Школа, устремленная в будущее"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 общеобразовательных организаций по учебной деятельности, реализующие инновационные образовательные проекты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11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общеобразовательной организации в номинации "Билет в будущее"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 общеобразовательных организаций, реализующие инновационные образовательные проекты и дополнительные общеобразовательные программы по формированию профессионального самоопределения, освоению школьниками трудовых навыков, в том числе по участию в движении WorldSkills и региональном чемпионате JuniorSkills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12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общеобразовательной организации в номинации "Школа - территория здоровья"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 общеобразовательных организаций, реализующие инновационные образовательные проекты по развитию, сохранению и укреплению здоровья обучающихся, по реализации программ подготовки к сдаче норм ГТО, по внедрению здоровьесберегающих технологий, включая организацию здорового питания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13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общеобразовательной организации в номинации "Воспитание лидеров"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 общеобразовательных организаций, реализующие инновационные образовательные проекты по воспитанию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реализация проектов по развитию добровольчества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14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образовательной организации в номинации "Социальное партнерство"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директоров, руководители структурных подразделений, реализующие программы сотрудничества школа-вуз (СПО), школа-бизнес по организации совместных уроков, проектов, исследований со школьниками, реализация проектов по развитию наставничества всех уровней образования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15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образовательной организации в номинации "Молодые профессионалы"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директоров, руководители структурных подразделений, реализующие инновационные образовательные проекты по вовлечению обучающихся в движение WorldSkills и региональный чемпионат JuniorSkills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lastRenderedPageBreak/>
              <w:t>16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образовательной организации в номинации "Бизнес-партнерство"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директоров, руководители структурных подразделений образовательных организаций, реализующие инновационные образовательные проекты по развитию партнерства и взаимодействия с работодателями, социальными институтами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17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профессиональной образовательной организации в номинации "Цифровой колледж"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директоров, руководители структурных подразделений профессиональных образовательных организаций, реализующие инновационные образовательные проекты по внедрению информационно-коммуникационных технологий в образовательный процесс (в том числе руководители обособленных структурных подразделений, реализующие образовательные программы среднего профессионального образования в составе образовательных организаций высшего образования)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18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образовательной организации в номинации "Лучшая практика электронного обучения"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директоров, руководители структурных подразделений образовательных организаций, ответственные за реализацию инновационных образовательных проектов по организации работы с обучающимися "группы риска" и по профилактике негативных явлений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19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руководитель образовательной организации в номинации "Лучшая практика инклюзивного образования"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директоров, руководители структурных подразделений образовательных организаций, реализующие инновационные образовательные проекты по обучению обучающихся с ОВЗ профессиональным навыкам, в том числе по участию в национальном Чемпионате по профессиональному мастерству среди инвалидов и лиц с ограниченными возможностями здоровья "Абилимпикс"</w:t>
            </w:r>
          </w:p>
        </w:tc>
      </w:tr>
      <w:tr w:rsidR="00A43D4F">
        <w:tc>
          <w:tcPr>
            <w:tcW w:w="510" w:type="dxa"/>
          </w:tcPr>
          <w:p w:rsidR="00A43D4F" w:rsidRDefault="00A43D4F">
            <w:pPr>
              <w:pStyle w:val="ConsPlusNormal"/>
            </w:pPr>
            <w:r>
              <w:t>20</w:t>
            </w:r>
          </w:p>
        </w:tc>
        <w:tc>
          <w:tcPr>
            <w:tcW w:w="3374" w:type="dxa"/>
          </w:tcPr>
          <w:p w:rsidR="00A43D4F" w:rsidRDefault="00A43D4F">
            <w:pPr>
              <w:pStyle w:val="ConsPlusNormal"/>
            </w:pPr>
            <w:r>
              <w:t>Лучший работник образовательной организации для детей-сирот и детей, оставшихся без попечения родителей</w:t>
            </w:r>
          </w:p>
        </w:tc>
        <w:tc>
          <w:tcPr>
            <w:tcW w:w="5159" w:type="dxa"/>
          </w:tcPr>
          <w:p w:rsidR="00A43D4F" w:rsidRDefault="00A43D4F">
            <w:pPr>
              <w:pStyle w:val="ConsPlusNormal"/>
            </w:pPr>
            <w:r>
              <w:t>директора, заместители директоров, руководители служб по постинтернатному сопровождению выпускников, по сопровождению замещающих семей, по работе с семьей и детьми образовательных организаций для детей-сирот и детей, оставшихся без попечения родителей</w:t>
            </w:r>
          </w:p>
        </w:tc>
      </w:tr>
    </w:tbl>
    <w:p w:rsidR="00A43D4F" w:rsidRDefault="00A43D4F">
      <w:pPr>
        <w:pStyle w:val="ConsPlusNormal"/>
        <w:jc w:val="both"/>
      </w:pPr>
      <w:r>
        <w:t xml:space="preserve">(п. 7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Губернатора МО от 07.05.2020 N 225-ПГ)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ind w:firstLine="540"/>
        <w:jc w:val="both"/>
      </w:pPr>
      <w:r>
        <w:t>8. Участниками конкурсного отбора являются руководители, заместители руководителей, педагогические работники образовательных организаций:</w:t>
      </w:r>
    </w:p>
    <w:p w:rsidR="00A43D4F" w:rsidRDefault="00A43D4F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Губернатора МО от 07.05.2020 N 225-ПГ)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для которых работа в образовательной организации по заявленной должности является основным местом работы;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не являющиеся победителями профессиональных конкурсов, проведенных в текущем году, предусматривающих выплату денежного вознаграждения за счет средств бюджета Московской области.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lastRenderedPageBreak/>
        <w:t>Педагогические работники должны иметь учебную нагрузку не менее одной ставки, за исключением педагогических работников малокомплектных общеобразовательных организаций и педагогов-библиотекарей.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 xml:space="preserve">9. Победителям конкурсного отбора присуждаются премии Губернатора Московской области, которые предоставляются в соответствии с </w:t>
      </w:r>
      <w:hyperlink r:id="rId23" w:history="1">
        <w:r>
          <w:rPr>
            <w:color w:val="0000FF"/>
          </w:rPr>
          <w:t>подпунктом 3.2 пункта 3 раздела 12.5</w:t>
        </w:r>
      </w:hyperlink>
      <w:r>
        <w:t xml:space="preserve"> "Перечень мероприятий" государственной программы Московской области "Развитие институтов гражданского общества, повышение эффективности местного самоуправления и реализации молодежной политики в Московской области", утвержденной постановлением Правительства Московской области от 25.10.2016 N 796/39 "Об утверждении государственной программы Московской области "Развитие институтов гражданского общества, повышение эффективности местного самоуправления и реализации молодежной политики в Московской области".</w:t>
      </w:r>
    </w:p>
    <w:p w:rsidR="00A43D4F" w:rsidRDefault="00A43D4F">
      <w:pPr>
        <w:pStyle w:val="ConsPlusNormal"/>
        <w:jc w:val="both"/>
      </w:pPr>
      <w:r>
        <w:t xml:space="preserve">(п. 9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Губернатора МО от 14.06.2018 N 261-ПГ)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10. Повторное присуждение премии одному и тому же лицу в течение 5 лет со дня ее присуждения не допускается.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11. Организатором конкурсного отбора является Министерство образования Московской области (далее - Министерство).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Title"/>
        <w:jc w:val="center"/>
        <w:outlineLvl w:val="1"/>
      </w:pPr>
      <w:r>
        <w:t>II. Региональная конкурсная комиссия</w:t>
      </w:r>
    </w:p>
    <w:p w:rsidR="00A43D4F" w:rsidRDefault="00A43D4F">
      <w:pPr>
        <w:pStyle w:val="ConsPlusTitle"/>
        <w:jc w:val="center"/>
      </w:pPr>
      <w:r>
        <w:t>по присуждению премии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ind w:firstLine="540"/>
        <w:jc w:val="both"/>
      </w:pPr>
      <w:r>
        <w:t>12. В целях организации, проведения и подведения итогов конкурсного отбора Министерством формируется Региональная конкурсная комиссия по проведению конкурсного отбора претендентов на присуждение премии (далее - РКК).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13. РКК создается на срок проведения конкурсного отбора.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14. В своей деятельности РКК руководствуется федеральным законодательством, законодательством Московской области, нормативными правовыми актами Министерства, а также настоящим Положением.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15. Члены РКК осуществляют свою работу на общественных началах.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16. РКК состоит из Главного экспертного совета (далее - ГЭС РКК), экспертных советов (далее - ЭС РКК), создаваемых по числу номинаций конкурсного отбора, и Региональной организационной группы (далее - РОГ РКК).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Общее число членов ГЭС РКК и каждого ЭС РКК должно составлять не менее 5 человек.</w:t>
      </w:r>
    </w:p>
    <w:p w:rsidR="00A43D4F" w:rsidRDefault="00A43D4F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Губернатора МО от 31.03.2016 N 114-ПГ)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17. Положение о РКК, персональный состав и порядок ее работы утверждается Министерством.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18. Решение о присуждении премии принимается Губернатором Московской области на основании выписки из протокола заседания ГЭС РКК.</w:t>
      </w:r>
    </w:p>
    <w:p w:rsidR="00A43D4F" w:rsidRDefault="00A43D4F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Губернатора МО от 31.03.2016 N 114-ПГ)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Title"/>
        <w:jc w:val="center"/>
        <w:outlineLvl w:val="1"/>
      </w:pPr>
      <w:bookmarkStart w:id="2" w:name="P149"/>
      <w:bookmarkEnd w:id="2"/>
      <w:r>
        <w:t>III. Критерии конкурсного отбора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ind w:firstLine="540"/>
        <w:jc w:val="both"/>
      </w:pPr>
      <w:r>
        <w:t>19. Конкурсный отбор на всех этапах проводится на основании следующих критериев отбора, включающих имеющиеся в образовательной организации данные (сведения, материалы):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1) для педагогических работников образовательных организаций: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lastRenderedPageBreak/>
        <w:t>достижения в профессиональной деятельности, получившие общественное призвание (документальное подтверждение в благодарственных письмах, сертификатах участника, в выписках из протоколов методических объединений, профессиональных ассоциаций, в печатных и интернет-публикациях, в материалах средств массовой информации);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достижения в инновационной деятельности, способствующие развитию системы образования в Московской области;</w:t>
      </w:r>
    </w:p>
    <w:p w:rsidR="00A43D4F" w:rsidRDefault="00A43D4F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Губернатора МО от 31.03.2016 N 114-ПГ)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работа в профессиональных объединениях и ассоциациях педагогов по распространению своего опыта;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качество работы по профессиональному саморазвитию, включая повышение квалификации;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профессиональные награды и поощрения;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2) для руководителей образовательных организаций: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достижения и результаты работы образовательной организации, в том числе достижения руководящего работника, получившие общественное призвание (документальное подтверждение в благодарственных письмах, сертификатах участника, в выписках из протоколов методических объединений, профессиональных ассоциаций, в печатных и интернет-публикациях, в материалах средств массовой информации);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работа по развитию образовательной организации (реализация инновационных образовательных проектов в образовательной организации), создание лучших практик в системе образования Московской области;</w:t>
      </w:r>
    </w:p>
    <w:p w:rsidR="00A43D4F" w:rsidRDefault="00A43D4F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Губернатора МО от 31.03.2016 N 114-ПГ)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работа в профессиональных объединениях и ассоциациях;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качество работы по профессиональному саморазвитию, включая повышение квалификации;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профессиональные награды и поощрения.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Title"/>
        <w:jc w:val="center"/>
        <w:outlineLvl w:val="1"/>
      </w:pPr>
      <w:r>
        <w:t>IV. Этапы проведения конкурсного отбора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ind w:firstLine="540"/>
        <w:jc w:val="both"/>
      </w:pPr>
      <w:r>
        <w:t>20. Конкурсный отбор проходит в три этапа: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I этап (в образовательной организации): выдвижение от образовательной организации претендентов на присуждение премии по одной из соответствующих номинаций (далее - претендент);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II этап (муниципальный (за исключением государственных образовательных организаций): рассмотрение муниципальной конкурсной комиссией документации претендентов, представленной муниципальными образовательными организациями, и выдвижение претендентов в РОГ РКК от муниципального образования Московской области;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III этап (региональный): рассмотрение РКК документации претендентов, представленной государственными образовательными организациями и муниципальными образованиями Московской области, и определение победителей конкурсного отбора по каждой номинации.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 xml:space="preserve">21. В целях организации и проведения конкурсного отбора на II этапе органом местного самоуправления муниципального образования Московской области, осуществляющим управление в сфере образования (далее - орган местного самоуправления), создается муниципальная конкурсная комиссия (далее - МКК), в рамках которой формируются предметные </w:t>
      </w:r>
      <w:r>
        <w:lastRenderedPageBreak/>
        <w:t>подкомиссии по всем номинациям.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22. Сроки проведения конкурсного отбора устанавливаются ежегодно на основании приказа министра образования Московской области.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Title"/>
        <w:jc w:val="center"/>
        <w:outlineLvl w:val="1"/>
      </w:pPr>
      <w:r>
        <w:t>V. Порядок организации и проведения конкурсного отбора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ind w:firstLine="540"/>
        <w:jc w:val="both"/>
      </w:pPr>
      <w:r>
        <w:t xml:space="preserve">23. Выдвижение претендентов на присуждение премии по номинациям, указанным в </w:t>
      </w:r>
      <w:hyperlink w:anchor="P55" w:history="1">
        <w:r>
          <w:rPr>
            <w:color w:val="0000FF"/>
          </w:rPr>
          <w:t>пункте 7</w:t>
        </w:r>
      </w:hyperlink>
      <w:r>
        <w:t xml:space="preserve"> настоящего Положения, при наличии их письменного согласия на участие в конкурсном отборе осуществляется: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коллективами образовательных организаций по месту работы;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ассоциациями педагогов Московской области;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самовыдвижением.</w:t>
      </w:r>
    </w:p>
    <w:p w:rsidR="00A43D4F" w:rsidRDefault="00A43D4F">
      <w:pPr>
        <w:pStyle w:val="ConsPlusNormal"/>
        <w:jc w:val="both"/>
      </w:pPr>
      <w:r>
        <w:t xml:space="preserve">(абзац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Губернатора МО от 24.05.2019 N 241-ПГ)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24. В период проведения I этапа коллегиальный орган управления образовательной организацией рассматривает все выдвинутые кандидатуры претендентов и принимает решение о выдвижении победителей I этапа конкурсного отбора по номинациям на следующий этап.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Решение о выдвижении одного победителя I этапа конкурсного отбора по номинации на следующий этап принимается с учетом мнения методических и иных профессиональных объединений педагогических работников, актива обучающихся (воспитанников) и их родителей, ассоциаций педагогов Московской области.</w:t>
      </w:r>
    </w:p>
    <w:p w:rsidR="00A43D4F" w:rsidRDefault="00A43D4F">
      <w:pPr>
        <w:pStyle w:val="ConsPlusNormal"/>
        <w:jc w:val="both"/>
      </w:pPr>
      <w:r>
        <w:t xml:space="preserve">(п. 24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Губернатора МО от 24.05.2019 N 241-ПГ)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25. При наличии технических возможностей в образовательной организации проводятся процедуры опросов и интернет-голосования за претендентов.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 xml:space="preserve">26. При отсутствии претендентов, соответствующих критериям, установленным </w:t>
      </w:r>
      <w:hyperlink w:anchor="P149" w:history="1">
        <w:r>
          <w:rPr>
            <w:color w:val="0000FF"/>
          </w:rPr>
          <w:t>разделом III</w:t>
        </w:r>
      </w:hyperlink>
      <w:r>
        <w:t xml:space="preserve"> настоящего Положения, коллегиальный орган управления образовательной организацией вправе воздержаться от их выдвижения.</w:t>
      </w:r>
    </w:p>
    <w:p w:rsidR="00A43D4F" w:rsidRDefault="00A43D4F">
      <w:pPr>
        <w:pStyle w:val="ConsPlusNormal"/>
        <w:spacing w:before="220"/>
        <w:ind w:firstLine="540"/>
        <w:jc w:val="both"/>
      </w:pPr>
      <w:bookmarkStart w:id="3" w:name="P188"/>
      <w:bookmarkEnd w:id="3"/>
      <w:r>
        <w:t>27. По итогам I этапа конкурсного отбора руководитель муниципальной образовательной организации передает в МКК следующие документы: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письмо-ходатайство с приложением решения о выдвижении претендентов на присуждение премии по номинациям с краткой мотивировкой (дается список номинаций и выдвигаемых претендентов на присуждение премии) или об отказе от выдвижения претендентов на присуждение премии;</w:t>
      </w:r>
    </w:p>
    <w:p w:rsidR="00A43D4F" w:rsidRDefault="00A43D4F">
      <w:pPr>
        <w:pStyle w:val="ConsPlusNormal"/>
        <w:spacing w:before="220"/>
        <w:ind w:firstLine="540"/>
        <w:jc w:val="both"/>
      </w:pPr>
      <w:hyperlink w:anchor="P255" w:history="1">
        <w:r>
          <w:rPr>
            <w:color w:val="0000FF"/>
          </w:rPr>
          <w:t>справки-представления</w:t>
        </w:r>
      </w:hyperlink>
      <w:r>
        <w:t xml:space="preserve"> на каждого из претендентов с обоснованием, опирающимся на указанные в </w:t>
      </w:r>
      <w:hyperlink w:anchor="P149" w:history="1">
        <w:r>
          <w:rPr>
            <w:color w:val="0000FF"/>
          </w:rPr>
          <w:t>разделе III</w:t>
        </w:r>
      </w:hyperlink>
      <w:r>
        <w:t xml:space="preserve"> настоящего Положения критерии (при этом выставление и обоснование баллов, другие количественные характеристики не являются обязательными), по установленной форме согласно приложению к настоящему Положению.</w:t>
      </w:r>
    </w:p>
    <w:p w:rsidR="00A43D4F" w:rsidRDefault="00A43D4F">
      <w:pPr>
        <w:pStyle w:val="ConsPlusNormal"/>
        <w:spacing w:before="220"/>
        <w:ind w:firstLine="540"/>
        <w:jc w:val="both"/>
      </w:pPr>
      <w:bookmarkStart w:id="4" w:name="P191"/>
      <w:bookmarkEnd w:id="4"/>
      <w:r>
        <w:t>28. По итогам I этапа конкурсного отбора руководитель государственной образовательной организации передает в РОГ РКК следующие документы: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письмо-ходатайство, в котором отражается решение коллегиального органа управления образовательной организацией о выдвижении претендентов на присуждение премии;</w:t>
      </w:r>
    </w:p>
    <w:p w:rsidR="00A43D4F" w:rsidRDefault="00A43D4F">
      <w:pPr>
        <w:pStyle w:val="ConsPlusNormal"/>
        <w:spacing w:before="220"/>
        <w:ind w:firstLine="540"/>
        <w:jc w:val="both"/>
      </w:pPr>
      <w:hyperlink w:anchor="P255" w:history="1">
        <w:r>
          <w:rPr>
            <w:color w:val="0000FF"/>
          </w:rPr>
          <w:t>справки-представления</w:t>
        </w:r>
      </w:hyperlink>
      <w:r>
        <w:t xml:space="preserve"> на каждого из претендентов от государственной образовательной организации (на бумажном и электронном (CD-, DVD-диске) носителях, название файла - фамилия </w:t>
      </w:r>
      <w:r>
        <w:lastRenderedPageBreak/>
        <w:t>претендента, тип файла - pdf) по установленной форме согласно приложению к настоящему Положению;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видеоролики претендентов от государственной образовательной организации, отражающие их достижения по критериям конкурсного отбора, в электронном виде на CD-, DVD-диске (в отдельных папках с названием номинаций и указанием действующей ссылки на размещение видеоролика в сети Интернет на ресурсе http://www.youtube.com);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сведения о претендентах по итогам конкурсного отбора в государственных образовательных организациях: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копия документа, удостоверяющего личность гражданина (паспорт или иной документ, признаваемый в соответствии с федеральным законодательством документом, удостоверяющим личность гражданина);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копия страхового свидетельства обязательного пенсионного страхования;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копия свидетельства о постановке на учет в налоговом органе физического лица (ИНН);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согласие на обработку персональных данных (форма согласия размещается на сайте конкурсного отбора http://www.momos.ru);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личная фотография (цветная) размером 3 x 4 на электронном (CD-, DVD-диске) и бумажном (2 экземпляра) носителях.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 xml:space="preserve">29. Указанные в </w:t>
      </w:r>
      <w:hyperlink w:anchor="P188" w:history="1">
        <w:r>
          <w:rPr>
            <w:color w:val="0000FF"/>
          </w:rPr>
          <w:t>пунктах 27</w:t>
        </w:r>
      </w:hyperlink>
      <w:r>
        <w:t xml:space="preserve"> и </w:t>
      </w:r>
      <w:hyperlink w:anchor="P191" w:history="1">
        <w:r>
          <w:rPr>
            <w:color w:val="0000FF"/>
          </w:rPr>
          <w:t>28</w:t>
        </w:r>
      </w:hyperlink>
      <w:r>
        <w:t xml:space="preserve"> настоящего Положения письма-ходатайства скрепляются подписью руководителя образовательной организации и печатью образовательной организации; справки-представления скрепляются подписями руководителя и председателя коллегиального органа управления образовательной организацией и печатью образовательной организации.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 xml:space="preserve">30. Претенденты готовят видеоролики продолжительностью демонстрации не более 3 минут, отражающие достижения по установленным </w:t>
      </w:r>
      <w:hyperlink w:anchor="P149" w:history="1">
        <w:r>
          <w:rPr>
            <w:color w:val="0000FF"/>
          </w:rPr>
          <w:t>разделом III</w:t>
        </w:r>
      </w:hyperlink>
      <w:r>
        <w:t xml:space="preserve"> настоящего Положения критериям конкурсного отбора.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31. Претенденты на присуждение премии размещают их самостоятельно в сети Интернет на ресурсе http://www.youtube.com/ (с разрешением не менее 640 x 480 и с ограничением возможности комментариев), заполняют информационную анкету на сайте конкурсного отбора (http://www.momos.ru) с указанием действующей ссылки.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Контроль за размещением и достоверностью информации, представленной в видеоролике претендента на присуждение премии из числа работников муниципальных образовательных организаций, осуществляется органом местного самоуправления, а в отношении претендентов на присуждение премии из числа работников государственных образовательных организаций - руководителями государственных образовательных организаций.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32. В период II этапа МКК осуществляет анализ поступивших от муниципальных образовательных организаций документов претендентов, при необходимости запрашивает дополнительные сведения, определяет победителей II этапа конкурсного отбора по каждой номинации и коллегиально принимает решение о выдвижении претендентов на III этап.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При наличии технических возможностей проводятся процедуры опросов и интернет-голосования за претендентов на присуждение премии.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 xml:space="preserve">33. Основаниями для проведения конкурсного отбора на II этапе являются поступившие в МКК документы, указанные в </w:t>
      </w:r>
      <w:hyperlink w:anchor="P188" w:history="1">
        <w:r>
          <w:rPr>
            <w:color w:val="0000FF"/>
          </w:rPr>
          <w:t>пункте 27</w:t>
        </w:r>
      </w:hyperlink>
      <w:r>
        <w:t xml:space="preserve"> настоящего Положения.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lastRenderedPageBreak/>
        <w:t>34. После принятия решения МКК составляет на всех победителей II этапа справки-представления по установленной настоящим Положением форме с учетом содержания справок-представлений от муниципальных образовательных организаций и заключения МКК по выдвижению претендентов как победителей конкурсного отбора на II этапе и список претендентов для представления на III этап.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35. После подготовки списка претендентов для представления на III этап МКК направляет данный список на утверждение руководителю органа местного самоуправления.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Муниципальное образование Московской области представляет в РОГ РКК по каждой номинации по одному претенденту.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36. От МКК в РОГ РКК направляются: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письмо-ходатайство за подписью руководителя органа местного самоуправления;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копия распорядительного акта руководителя органа местного самоуправления, утверждающего список победителей II этапа конкурсного отбора с обозначением этих лиц в качестве "лучших по профессии" муниципального образования Московской области в текущем году (по всем номинациям);</w:t>
      </w:r>
    </w:p>
    <w:p w:rsidR="00A43D4F" w:rsidRDefault="00A43D4F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Губернатора МО от 31.03.2016 N 114-ПГ)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протокол МКК;</w:t>
      </w:r>
    </w:p>
    <w:p w:rsidR="00A43D4F" w:rsidRDefault="00A43D4F">
      <w:pPr>
        <w:pStyle w:val="ConsPlusNormal"/>
        <w:spacing w:before="220"/>
        <w:ind w:firstLine="540"/>
        <w:jc w:val="both"/>
      </w:pPr>
      <w:hyperlink w:anchor="P255" w:history="1">
        <w:r>
          <w:rPr>
            <w:color w:val="0000FF"/>
          </w:rPr>
          <w:t>справки-представления</w:t>
        </w:r>
      </w:hyperlink>
      <w:r>
        <w:t xml:space="preserve"> на каждого из победителей II этапа конкурсного отбора, скрепленные подписью руководителя и печатью органа местного самоуправления (на бумажном и электронном (CD-, DVD-диске) носителях, название файла - фамилия претендента, тип файла - pdf), по установленной форме согласно приложению к настоящему Положению;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видеоролики победителей II этапа конкурсного отбора, отражающие достижения претендента по критериям конкурсного отбора, в электронном виде на CD-, DVD-диске (в отдельных папках с названием номинаций и указанием действующей ссылки на размещение видеоролика в сети Интернет на ресурсе http://www.youtube.com);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сведения о победителях II этапа конкурсного отбора: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копия документа, удостоверяющего личность гражданина (паспорт или иной документ, признаваемый в соответствии с федеральным законодательством документом, удостоверяющим личность гражданина);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копия страхового свидетельства обязательного пенсионного страхования;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копия свидетельства о постановке на учет в налоговом органе физического лица (ИНН);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согласие на обработку персональных данных (форма согласия размещается на сайте конкурсного отбора http://www.momos.ru);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личная фотография (цветная) размером 3 x 4 на бумажном (2 экземпляра) и электронном (CD-, DVD-диске) носителях.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37. В период III этапа: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 xml:space="preserve">РОГ РКК рассматривает документацию претендентов и направляет их в ЭС РКК; организует 20 постоянно действующих вебинаров по каждой номинации конкурсного отбора и обеспечивает всех претендентов возможностью выступить по графику дистанционно через вебинар с самопрезентацией (не более 5 минут) и ответить на поступившие вопросы от членов РКК (не более 5 вопросов, продолжительность ответов не более 10 минут). Участие претендентов в вебинаре </w:t>
      </w:r>
      <w:r>
        <w:lastRenderedPageBreak/>
        <w:t>является обязательным. Выступление каждого претендента записывается и сохраняется до момента вручения дипломов лауреата премии победителям конкурсного отбора.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ЭС РКК на основе анализа и оценки документации претендентов и видеозаписей выступлений претендентов на вебинаре подготавливают предложения о победителях конкурсного отбора в каждой номинации и передают материалы в ГЭС РКК.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ГЭС РКК определяет победителей конкурсного отбора.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Председатель РКК в срок, установленный приказом министра образования Московской области, представляет выписку из протокола заседания ГЭС РКК со списком победителей конкурсного отбора в Министерство.</w:t>
      </w:r>
    </w:p>
    <w:p w:rsidR="00A43D4F" w:rsidRDefault="00A43D4F">
      <w:pPr>
        <w:pStyle w:val="ConsPlusNormal"/>
        <w:jc w:val="both"/>
      </w:pPr>
      <w:r>
        <w:t xml:space="preserve">(п. 37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Губернатора МО от 14.06.2018 N 261-ПГ)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 xml:space="preserve">38. При определении победителей используется метод суммы мест. Правила определения оценки победителей конкурсного отбора на соответствие критериям, установленным в </w:t>
      </w:r>
      <w:hyperlink w:anchor="P149" w:history="1">
        <w:r>
          <w:rPr>
            <w:color w:val="0000FF"/>
          </w:rPr>
          <w:t>разделе III</w:t>
        </w:r>
      </w:hyperlink>
      <w:r>
        <w:t xml:space="preserve"> настоящего Положения, утверждаются Министерством.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39. В сроки работы РКК организовывается размещение на специализированном сайте Государственного бюджетного образовательного учреждения высшего образования Московской области "Академия социального управления" ссылок на видеоролики претендентов в сети Интернет на ресурсе http://www.youtube.com. РКК учитывает данные о количестве просмотров видеороликов кандидатов при принятии решения.</w:t>
      </w:r>
    </w:p>
    <w:p w:rsidR="00A43D4F" w:rsidRDefault="00A43D4F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Губернатора МО от 31.03.2016 N 114-ПГ)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40. Министерство готовит проект распоряжения Губернатора Московской области о присуждении премии Губернатора Московской области "Лучший по профессии" в сфере образования.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41. Информация об итогах конкурса и о присуждении премии опубликовывается в газете "Ежедневные новости. Подмосковье" и размещается (опубликовывается) на Интернет-портале Правительства Московской области.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Title"/>
        <w:jc w:val="center"/>
        <w:outlineLvl w:val="1"/>
      </w:pPr>
      <w:r>
        <w:t>VI. Порядок выплаты премии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ind w:firstLine="540"/>
        <w:jc w:val="both"/>
      </w:pPr>
      <w:r>
        <w:t>42. Диплом лауреата премии вручается лауреату премии в торжественной обстановке Губернатором Московской области или уполномоченным им лицом в рамках вручения ежегодной премии Губернатора Московской области "Наше Подмосковье".</w:t>
      </w:r>
    </w:p>
    <w:p w:rsidR="00A43D4F" w:rsidRDefault="00A43D4F">
      <w:pPr>
        <w:pStyle w:val="ConsPlusNormal"/>
        <w:spacing w:before="220"/>
        <w:ind w:firstLine="540"/>
        <w:jc w:val="both"/>
      </w:pPr>
      <w:r>
        <w:t>43. Выплата премии осуществляется Министерством на основании распоряжения Губернатора Московской области о присуждении премии путем перечисления средств на счет лауреата премии, открытый на его имя в банке или иной кредитной организации.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right"/>
        <w:outlineLvl w:val="1"/>
      </w:pPr>
      <w:r>
        <w:t>Приложение</w:t>
      </w:r>
    </w:p>
    <w:p w:rsidR="00A43D4F" w:rsidRDefault="00A43D4F">
      <w:pPr>
        <w:pStyle w:val="ConsPlusNormal"/>
        <w:jc w:val="right"/>
      </w:pPr>
      <w:r>
        <w:t>к Положению о премии</w:t>
      </w:r>
    </w:p>
    <w:p w:rsidR="00A43D4F" w:rsidRDefault="00A43D4F">
      <w:pPr>
        <w:pStyle w:val="ConsPlusNormal"/>
        <w:jc w:val="right"/>
      </w:pPr>
      <w:r>
        <w:t>Губернатора Московской области</w:t>
      </w:r>
    </w:p>
    <w:p w:rsidR="00A43D4F" w:rsidRDefault="00A43D4F">
      <w:pPr>
        <w:pStyle w:val="ConsPlusNormal"/>
        <w:jc w:val="right"/>
      </w:pPr>
      <w:r>
        <w:t>"Лучший по профессии"</w:t>
      </w:r>
    </w:p>
    <w:p w:rsidR="00A43D4F" w:rsidRDefault="00A43D4F">
      <w:pPr>
        <w:pStyle w:val="ConsPlusNormal"/>
        <w:jc w:val="right"/>
      </w:pPr>
      <w:r>
        <w:t>в сфере образования</w:t>
      </w:r>
    </w:p>
    <w:p w:rsidR="00A43D4F" w:rsidRDefault="00A43D4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43D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D4F" w:rsidRDefault="00A43D4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D4F" w:rsidRDefault="00A43D4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3D4F" w:rsidRDefault="00A43D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3D4F" w:rsidRDefault="00A43D4F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3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МО от 31.03.2016 N 114-ПГ)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D4F" w:rsidRDefault="00A43D4F">
            <w:pPr>
              <w:spacing w:after="1" w:line="0" w:lineRule="atLeast"/>
            </w:pPr>
          </w:p>
        </w:tc>
      </w:tr>
    </w:tbl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right"/>
      </w:pPr>
      <w:r>
        <w:t>Форма</w:t>
      </w: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center"/>
      </w:pPr>
      <w:bookmarkStart w:id="5" w:name="P255"/>
      <w:bookmarkEnd w:id="5"/>
      <w:r>
        <w:t>Справка-представление на претендента на присуждение премии</w:t>
      </w:r>
    </w:p>
    <w:p w:rsidR="00A43D4F" w:rsidRDefault="00A43D4F">
      <w:pPr>
        <w:pStyle w:val="ConsPlusNormal"/>
        <w:jc w:val="center"/>
      </w:pPr>
      <w:r>
        <w:t>Губернатора Московской области "Лучший по профессии" в сфере</w:t>
      </w:r>
    </w:p>
    <w:p w:rsidR="00A43D4F" w:rsidRDefault="00A43D4F">
      <w:pPr>
        <w:pStyle w:val="ConsPlusNormal"/>
        <w:jc w:val="center"/>
      </w:pPr>
      <w:r>
        <w:t>образования (далее - претендент)</w:t>
      </w:r>
    </w:p>
    <w:p w:rsidR="00A43D4F" w:rsidRDefault="00A43D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62"/>
        <w:gridCol w:w="3742"/>
      </w:tblGrid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1. Номинация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2. Фамилия претендента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3. Имя претендента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4. Отчество претендента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5. Место работы, занимаемая должность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6. Пол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7. Дата рождения (число, месяц, год)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8. Место рождения (республика, край, область, округ, город, район, поселок, село, деревня)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9. Образование (полное наименование образовательной организации, год окончания)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10. Квалификационная категория, ученая степень, ученое звание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11. Какими государственными и ведомственными (отраслевыми) наградами, наградами Московской области награжден(а), даты награждения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12. Стаж работы: общий/в отрасли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13. Стаж работы в данной организации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14. Характеристика на претендента в соответствии с критериями конкурсного отбора (в характеристике должны быть отражены конкретные заслуги, достижения кандидата по критериям конкурсного отбора) не более 5400 печатных знаков (3 страницы формата А4)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15. Согласие на обработку персональных данных от претендента получено (число, месяц, год)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  <w:tr w:rsidR="00A43D4F">
        <w:tc>
          <w:tcPr>
            <w:tcW w:w="4762" w:type="dxa"/>
          </w:tcPr>
          <w:p w:rsidR="00A43D4F" w:rsidRDefault="00A43D4F">
            <w:pPr>
              <w:pStyle w:val="ConsPlusNormal"/>
            </w:pPr>
            <w:r>
              <w:t>16. Кандидатура рекомендована (наименование органа, принявшего решение, дата обсуждения, номер протокола)</w:t>
            </w:r>
          </w:p>
        </w:tc>
        <w:tc>
          <w:tcPr>
            <w:tcW w:w="3742" w:type="dxa"/>
          </w:tcPr>
          <w:p w:rsidR="00A43D4F" w:rsidRDefault="00A43D4F">
            <w:pPr>
              <w:pStyle w:val="ConsPlusNormal"/>
            </w:pPr>
          </w:p>
        </w:tc>
      </w:tr>
    </w:tbl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ind w:firstLine="540"/>
        <w:jc w:val="both"/>
      </w:pPr>
      <w:r>
        <w:t>Достоверность сведений, указанных в справке-представлении, подтверждаем.</w:t>
      </w:r>
    </w:p>
    <w:p w:rsidR="00A43D4F" w:rsidRDefault="00A43D4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9"/>
        <w:gridCol w:w="4082"/>
      </w:tblGrid>
      <w:tr w:rsidR="00A43D4F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3D4F" w:rsidRDefault="00A43D4F">
            <w:pPr>
              <w:pStyle w:val="ConsPlusNormal"/>
              <w:jc w:val="center"/>
            </w:pPr>
            <w:r>
              <w:t>Руководитель муниципальной образовательной организации/</w:t>
            </w:r>
          </w:p>
          <w:p w:rsidR="00A43D4F" w:rsidRDefault="00A43D4F">
            <w:pPr>
              <w:pStyle w:val="ConsPlusNormal"/>
              <w:jc w:val="center"/>
            </w:pPr>
            <w:r>
              <w:t>Руководитель государственной образовательной организации/</w:t>
            </w:r>
          </w:p>
          <w:p w:rsidR="00A43D4F" w:rsidRDefault="00A43D4F">
            <w:pPr>
              <w:pStyle w:val="ConsPlusNormal"/>
              <w:jc w:val="center"/>
            </w:pPr>
            <w:r>
              <w:t>Руководитель органа местного самоуправления, осуществляющего управление в сфере образования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A43D4F" w:rsidRDefault="00A43D4F">
            <w:pPr>
              <w:pStyle w:val="ConsPlusNormal"/>
              <w:jc w:val="center"/>
            </w:pPr>
            <w:r>
              <w:t>Председатель коллегиального органа управления образовательной организацией</w:t>
            </w:r>
          </w:p>
        </w:tc>
      </w:tr>
      <w:tr w:rsidR="00A43D4F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3D4F" w:rsidRDefault="00A43D4F">
            <w:pPr>
              <w:pStyle w:val="ConsPlusNormal"/>
              <w:jc w:val="center"/>
            </w:pPr>
            <w:r>
              <w:t>____________________________</w:t>
            </w:r>
          </w:p>
          <w:p w:rsidR="00A43D4F" w:rsidRDefault="00A43D4F">
            <w:pPr>
              <w:pStyle w:val="ConsPlusNormal"/>
              <w:jc w:val="center"/>
            </w:pPr>
            <w:r>
              <w:t>(подпись)</w:t>
            </w:r>
          </w:p>
          <w:p w:rsidR="00A43D4F" w:rsidRDefault="00A43D4F">
            <w:pPr>
              <w:pStyle w:val="ConsPlusNormal"/>
              <w:jc w:val="center"/>
            </w:pPr>
            <w:r>
              <w:t>____________________________</w:t>
            </w:r>
          </w:p>
          <w:p w:rsidR="00A43D4F" w:rsidRDefault="00A43D4F">
            <w:pPr>
              <w:pStyle w:val="ConsPlusNormal"/>
              <w:jc w:val="center"/>
            </w:pPr>
            <w:r>
              <w:t>(Фамилия, И.О.)</w:t>
            </w:r>
          </w:p>
          <w:p w:rsidR="00A43D4F" w:rsidRDefault="00A43D4F">
            <w:pPr>
              <w:pStyle w:val="ConsPlusNormal"/>
            </w:pPr>
            <w:r>
              <w:t>М.П.</w:t>
            </w:r>
          </w:p>
        </w:tc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3D4F" w:rsidRDefault="00A43D4F">
            <w:pPr>
              <w:pStyle w:val="ConsPlusNormal"/>
              <w:jc w:val="center"/>
            </w:pPr>
            <w:r>
              <w:t>__________________________</w:t>
            </w:r>
          </w:p>
          <w:p w:rsidR="00A43D4F" w:rsidRDefault="00A43D4F">
            <w:pPr>
              <w:pStyle w:val="ConsPlusNormal"/>
              <w:jc w:val="center"/>
            </w:pPr>
            <w:r>
              <w:t>(подпись)</w:t>
            </w:r>
          </w:p>
          <w:p w:rsidR="00A43D4F" w:rsidRDefault="00A43D4F">
            <w:pPr>
              <w:pStyle w:val="ConsPlusNormal"/>
              <w:jc w:val="center"/>
            </w:pPr>
            <w:r>
              <w:t>__________________________</w:t>
            </w:r>
          </w:p>
          <w:p w:rsidR="00A43D4F" w:rsidRDefault="00A43D4F">
            <w:pPr>
              <w:pStyle w:val="ConsPlusNormal"/>
              <w:jc w:val="center"/>
            </w:pPr>
            <w:r>
              <w:t>(Фамилия, И.О.)</w:t>
            </w:r>
          </w:p>
        </w:tc>
      </w:tr>
      <w:tr w:rsidR="00A43D4F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3D4F" w:rsidRDefault="00A43D4F">
            <w:pPr>
              <w:pStyle w:val="ConsPlusNormal"/>
            </w:pPr>
            <w:r>
              <w:t>"___" ___________ 20___ года</w:t>
            </w:r>
          </w:p>
        </w:tc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3D4F" w:rsidRDefault="00A43D4F">
            <w:pPr>
              <w:spacing w:after="1" w:line="0" w:lineRule="atLeast"/>
            </w:pPr>
          </w:p>
        </w:tc>
      </w:tr>
    </w:tbl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jc w:val="both"/>
      </w:pPr>
    </w:p>
    <w:p w:rsidR="00A43D4F" w:rsidRDefault="00A43D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7F5A" w:rsidRDefault="00047F5A"/>
    <w:sectPr w:rsidR="00047F5A" w:rsidSect="00180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3D4F"/>
    <w:rsid w:val="00047F5A"/>
    <w:rsid w:val="00194827"/>
    <w:rsid w:val="0050201D"/>
    <w:rsid w:val="00A43D4F"/>
    <w:rsid w:val="00EF2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3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3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3D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313698D5E0FB9E70A18EC81E6A246DE5771D4E675CD6FE0027FCBAF42C7419FBF4B115D7CEC641C00CF7E961F7B347A0C225C622D36298F2b4I" TargetMode="External"/><Relationship Id="rId13" Type="http://schemas.openxmlformats.org/officeDocument/2006/relationships/hyperlink" Target="consultantplus://offline/ref=0AB211D64BB55DCD47A0AD984ABC1E5E259C0F0B7C07CA6AE7672B941692DA8F7A0837DA70A3CF4F3A7930422D6CD5E23714A308D9AE5421G6bEI" TargetMode="External"/><Relationship Id="rId18" Type="http://schemas.openxmlformats.org/officeDocument/2006/relationships/hyperlink" Target="consultantplus://offline/ref=0AB211D64BB55DCD47A0AD984ABC1E5E25960E0E7F02CA6AE7672B941692DA8F7A0837DA70A3CF4E3E7930422D6CD5E23714A308D9AE5421G6bEI" TargetMode="External"/><Relationship Id="rId26" Type="http://schemas.openxmlformats.org/officeDocument/2006/relationships/hyperlink" Target="consultantplus://offline/ref=0AB211D64BB55DCD47A0AD984ABC1E5E259C0F0B7C07CA6AE7672B941692DA8F7A0837DA70A3CF4E3F7930422D6CD5E23714A308D9AE5421G6bE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AB211D64BB55DCD47A0AD984ABC1E5E249E0C0D7D01CA6AE7672B941692DA8F7A0837DA70A3CF4E387930422D6CD5E23714A308D9AE5421G6bEI" TargetMode="External"/><Relationship Id="rId34" Type="http://schemas.openxmlformats.org/officeDocument/2006/relationships/hyperlink" Target="consultantplus://offline/ref=0AB211D64BB55DCD47A0AD984ABC1E5E259C0F0B7C07CA6AE7672B941692DA8F7A0837DA70A3CF4E347930422D6CD5E23714A308D9AE5421G6bEI" TargetMode="External"/><Relationship Id="rId7" Type="http://schemas.openxmlformats.org/officeDocument/2006/relationships/hyperlink" Target="consultantplus://offline/ref=C0313698D5E0FB9E70A18EC81E6A246DE47F1F4D655FD6FE0027FCBAF42C7419FBF4B115D7CEC641C00CF7E961F7B347A0C225C622D36298F2b4I" TargetMode="External"/><Relationship Id="rId12" Type="http://schemas.openxmlformats.org/officeDocument/2006/relationships/hyperlink" Target="consultantplus://offline/ref=0AB211D64BB55DCD47A0AD984ABC1E5E2599060E7D0ECA6AE7672B941692DA8F7A0837DA70A3CF4F3B7930422D6CD5E23714A308D9AE5421G6bEI" TargetMode="External"/><Relationship Id="rId17" Type="http://schemas.openxmlformats.org/officeDocument/2006/relationships/hyperlink" Target="consultantplus://offline/ref=0AB211D64BB55DCD47A0AD984ABC1E5E2599060E7D0ECA6AE7672B941692DA8F7A0837DA70A3CF4E397930422D6CD5E23714A308D9AE5421G6bEI" TargetMode="External"/><Relationship Id="rId25" Type="http://schemas.openxmlformats.org/officeDocument/2006/relationships/hyperlink" Target="consultantplus://offline/ref=0AB211D64BB55DCD47A0AD984ABC1E5E259C0F0B7C07CA6AE7672B941692DA8F7A0837DA70A3CF4E3C7930422D6CD5E23714A308D9AE5421G6bEI" TargetMode="External"/><Relationship Id="rId33" Type="http://schemas.openxmlformats.org/officeDocument/2006/relationships/hyperlink" Target="consultantplus://offline/ref=0AB211D64BB55DCD47A0AD984ABC1E5E259C0F0B7C07CA6AE7672B941692DA8F7A0837DA70A3CF4E357930422D6CD5E23714A308D9AE5421G6bE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AB211D64BB55DCD47A0AD984ABC1E5E259C0F0B7C07CA6AE7672B941692DA8F7A0837DA70A3CF4F357930422D6CD5E23714A308D9AE5421G6bEI" TargetMode="External"/><Relationship Id="rId20" Type="http://schemas.openxmlformats.org/officeDocument/2006/relationships/hyperlink" Target="consultantplus://offline/ref=0AB211D64BB55DCD47A0AD984ABC1E5E249E0C0D7D01CA6AE7672B941692DA8F7A0837DA70A3CF4E3E7930422D6CD5E23714A308D9AE5421G6bEI" TargetMode="External"/><Relationship Id="rId29" Type="http://schemas.openxmlformats.org/officeDocument/2006/relationships/hyperlink" Target="consultantplus://offline/ref=0AB211D64BB55DCD47A0AD984ABC1E5E25960E0E7F02CA6AE7672B941692DA8F7A0837DA70A3CF473E7930422D6CD5E23714A308D9AE5421G6b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0313698D5E0FB9E70A18EC81E6A246DE470174D6753D6FE0027FCBAF42C7419FBF4B115D7CEC641C00CF7E961F7B347A0C225C622D36298F2b4I" TargetMode="External"/><Relationship Id="rId11" Type="http://schemas.openxmlformats.org/officeDocument/2006/relationships/hyperlink" Target="consultantplus://offline/ref=0AB211D64BB55DCD47A0AD984ABC1E5E259C0F0B7C07CA6AE7672B941692DA8F7A0837DA70A3CF4F3B7930422D6CD5E23714A308D9AE5421G6bEI" TargetMode="External"/><Relationship Id="rId24" Type="http://schemas.openxmlformats.org/officeDocument/2006/relationships/hyperlink" Target="consultantplus://offline/ref=0AB211D64BB55DCD47A0AD984ABC1E5E2599060E7D0ECA6AE7672B941692DA8F7A0837DA70A3CF4D3D7930422D6CD5E23714A308D9AE5421G6bEI" TargetMode="External"/><Relationship Id="rId32" Type="http://schemas.openxmlformats.org/officeDocument/2006/relationships/hyperlink" Target="consultantplus://offline/ref=0AB211D64BB55DCD47A0AD984ABC1E5E2599060E7D0ECA6AE7672B941692DA8F7A0837DA70A3CF4D3F7930422D6CD5E23714A308D9AE5421G6bEI" TargetMode="External"/><Relationship Id="rId5" Type="http://schemas.openxmlformats.org/officeDocument/2006/relationships/hyperlink" Target="consultantplus://offline/ref=C0313698D5E0FB9E70A18EC81E6A246DE4751E48665AD6FE0027FCBAF42C7419FBF4B115D7CEC641C00CF7E961F7B347A0C225C622D36298F2b4I" TargetMode="External"/><Relationship Id="rId15" Type="http://schemas.openxmlformats.org/officeDocument/2006/relationships/hyperlink" Target="consultantplus://offline/ref=0AB211D64BB55DCD47A0AD984ABC1E5E249E0C0D7D01CA6AE7672B941692DA8F7A0837DA70A3CF4F3B7930422D6CD5E23714A308D9AE5421G6bEI" TargetMode="External"/><Relationship Id="rId23" Type="http://schemas.openxmlformats.org/officeDocument/2006/relationships/hyperlink" Target="consultantplus://offline/ref=0AB211D64BB55DCD47A0AD984ABC1E5E249C080E7307CA6AE7672B941692DA8F7A0837D970A6C744692320466438DDFD3209BD09C7AEG5b6I" TargetMode="External"/><Relationship Id="rId28" Type="http://schemas.openxmlformats.org/officeDocument/2006/relationships/hyperlink" Target="consultantplus://offline/ref=0AB211D64BB55DCD47A0AD984ABC1E5E259C0F0B7C07CA6AE7672B941692DA8F7A0837DA70A3CF4E387930422D6CD5E23714A308D9AE5421G6bEI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0AB211D64BB55DCD47A0AD984ABC1E5E249C080E7307CA6AE7672B941692DA8F7A0837DA70A3CF4D3A7930422D6CD5E23714A308D9AE5421G6bEI" TargetMode="External"/><Relationship Id="rId19" Type="http://schemas.openxmlformats.org/officeDocument/2006/relationships/hyperlink" Target="consultantplus://offline/ref=0AB211D64BB55DCD47A0AD984ABC1E5E249E0C0D7D01CA6AE7672B941692DA8F7A0837DA70A3CF4E3E7930422D6CD5E23714A308D9AE5421G6bEI" TargetMode="External"/><Relationship Id="rId31" Type="http://schemas.openxmlformats.org/officeDocument/2006/relationships/hyperlink" Target="consultantplus://offline/ref=0AB211D64BB55DCD47A0AD984ABC1E5E259C0F0B7C07CA6AE7672B941692DA8F7A0837DA70A3CF4E3A7930422D6CD5E23714A308D9AE5421G6bE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AB211D64BB55DCD47A0AD984ABC1E5E249B09087205CA6AE7672B941692DA8F7A0837DA70A3CD4C3C7930422D6CD5E23714A308D9AE5421G6bEI" TargetMode="External"/><Relationship Id="rId14" Type="http://schemas.openxmlformats.org/officeDocument/2006/relationships/hyperlink" Target="consultantplus://offline/ref=0AB211D64BB55DCD47A0AD984ABC1E5E25960E0E7F02CA6AE7672B941692DA8F7A0837DA70A3CF4F3B7930422D6CD5E23714A308D9AE5421G6bEI" TargetMode="External"/><Relationship Id="rId22" Type="http://schemas.openxmlformats.org/officeDocument/2006/relationships/hyperlink" Target="consultantplus://offline/ref=0AB211D64BB55DCD47A0AD984ABC1E5E249E0C0D7D01CA6AE7672B941692DA8F7A0837DA70A3CF47397930422D6CD5E23714A308D9AE5421G6bEI" TargetMode="External"/><Relationship Id="rId27" Type="http://schemas.openxmlformats.org/officeDocument/2006/relationships/hyperlink" Target="consultantplus://offline/ref=0AB211D64BB55DCD47A0AD984ABC1E5E259C0F0B7C07CA6AE7672B941692DA8F7A0837DA70A3CF4E397930422D6CD5E23714A308D9AE5421G6bEI" TargetMode="External"/><Relationship Id="rId30" Type="http://schemas.openxmlformats.org/officeDocument/2006/relationships/hyperlink" Target="consultantplus://offline/ref=0AB211D64BB55DCD47A0AD984ABC1E5E25960E0E7F02CA6AE7672B941692DA8F7A0837DA70A3CF47387930422D6CD5E23714A308D9AE5421G6bEI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5240</Words>
  <Characters>29869</Characters>
  <Application>Microsoft Office Word</Application>
  <DocSecurity>0</DocSecurity>
  <Lines>248</Lines>
  <Paragraphs>70</Paragraphs>
  <ScaleCrop>false</ScaleCrop>
  <Company/>
  <LinksUpToDate>false</LinksUpToDate>
  <CharactersWithSpaces>35039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sidorenko_ns</dc:creator>
  <cp:lastModifiedBy>sidorenko_ns</cp:lastModifiedBy>
  <cp:revision>1</cp:revision>
  <dcterms:created xsi:type="dcterms:W3CDTF">2022-03-15T08:27:00Z</dcterms:created>
  <dcterms:modified xsi:type="dcterms:W3CDTF">2022-03-15T08:27:00Z</dcterms:modified>
</cp:coreProperties>
</file>